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72"/>
          <w:szCs w:val="72"/>
        </w:rPr>
      </w:pP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</w:rPr>
        <w:drawing>
          <wp:inline distB="0" distT="0" distL="0" distR="0">
            <wp:extent cx="2800350" cy="2800350"/>
            <wp:effectExtent b="0" l="0" r="0" t="0"/>
            <wp:docPr descr="Esportpolska wpinka orągła.png" id="12" name="image1.png"/>
            <a:graphic>
              <a:graphicData uri="http://schemas.openxmlformats.org/drawingml/2006/picture">
                <pic:pic>
                  <pic:nvPicPr>
                    <pic:cNvPr descr="Esportpolska wpinka orągł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72"/>
          <w:szCs w:val="72"/>
        </w:rPr>
      </w:pP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rtl w:val="0"/>
        </w:rPr>
        <w:t xml:space="preserve">REGULAMIN OGÓLNY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  <w:rtl w:val="0"/>
        </w:rPr>
        <w:t xml:space="preserve">Turnieju Drużynowego</w:t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  <w:rtl w:val="0"/>
        </w:rPr>
        <w:t xml:space="preserve">FIFA23</w:t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ORGANIZATOR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sz w:val="52"/>
          <w:szCs w:val="52"/>
        </w:rPr>
      </w:pPr>
      <w:r w:rsidDel="00000000" w:rsidR="00000000" w:rsidRPr="00000000">
        <w:rPr>
          <w:rtl w:val="0"/>
        </w:rPr>
        <w:t xml:space="preserve">STOWARZYSZENIE ESPORT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§1. Postanowienia ogólne.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Poniższy Regulamin Ogólny Turnieju (w skrócie „Regulamin”) dotyczy rozgrywek gry FIFA23.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Termin turnieju oraz godzina rozpoczęcia podawana jest </w:t>
        <w:br w:type="textWrapping"/>
        <w:t xml:space="preserve">w osobnym komunikacie na stronie organizatora – www.esportpolska.org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Organizatorem Turnieju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jest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Stowarzyszenie „Esport Polska” z siedzibą w Bielsku-Białej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(KRS: 0000639135, NIP: 9372685743, REGON: 365503333).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Każdy z uczestników Turnieju zobowiązany jest do zapoznania się z Regulaminem oraz jego przestrzegania. 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 udział w Turnieju zgodę wyraża Rodzic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dziecka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przez wypełnienie pisemnej zgody i przekazanie do organizatora e-mailem lub najpóźniej w dniu turnieju do sędziego. Jest to równoważne z akceptacją postanowień Regulaminu. Jeżeli uczestnik Turnieju jest pełnoletni wypełnia pisemną zgodę samodzielnie.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Udział w Turnieju przeznaczony jest dla Wszystkich sympatyków gry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FIFA.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Warunkiem udziału w Turnieju jest zgoda Rodzica lub prawnego opiekuna, a w przypadku osoby pełnoletniej zgoda własnoręcznie podpisana.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Uczestnicy nie wnoszą opłat rejestracyjnych.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Uczestnicy mogą zaopatrzyć się we własne kontrolery do gry (pady).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Regulamin wchodzi w życie z dniem jego opublikowania.</w:t>
      </w:r>
    </w:p>
    <w:p w:rsidR="00000000" w:rsidDel="00000000" w:rsidP="00000000" w:rsidRDefault="00000000" w:rsidRPr="00000000" w14:paraId="0000001A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§2. System rozgrywek.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Turnieju udział biorą drużyny szkolne składające się z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czterech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zawodników.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Zgłoszenie zawodników odbywa się przez wypełnienie formularza on-lin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na stronie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www.bbgf.pl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lub wysłanie e-mai na adres </w:t>
      </w:r>
      <w:r w:rsidDel="00000000" w:rsidR="00000000" w:rsidRPr="00000000">
        <w:rPr>
          <w:rFonts w:ascii="Cambria" w:cs="Cambria" w:eastAsia="Cambria" w:hAnsi="Cambria"/>
          <w:i w:val="1"/>
          <w:color w:val="0c71c3"/>
          <w:rtl w:val="0"/>
        </w:rPr>
        <w:t xml:space="preserve">turniej@bbgf.pl</w:t>
      </w:r>
      <w:r w:rsidDel="00000000" w:rsidR="00000000" w:rsidRPr="00000000">
        <w:rPr>
          <w:rFonts w:ascii="Cambria" w:cs="Cambria" w:eastAsia="Cambria" w:hAnsi="Cambria"/>
          <w:color w:val="0c71c3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 terminie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do 6.12.2023r.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 formie zwykłej wiadomości tekstowej zawierającej: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nazwa szkoły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imiona i nazwiska zawodników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adres e-mail do kontaktu z drużyną (e-mail szkoły lub jednego z zawodników).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Zgłaszający otrzymuje potwierdzenie zgłoszenia drużyny do trzech dni.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Obowiązkiem zgłaszającego (lub opiekuna drużyny) jest sprawdzenie potwierdzenia zgłoszenia. W przypadku braku takiej wiadomości należy ponownie zgłosić się na Turniej.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Każdy zawodnik powinien posiadać również wypełnioną zgodę rodzica/opiekuna prawnego/własną, którą przekazuje Organizatorowi w dniu Turnieju. 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Zasady rozgrywania Turnieju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Wszystkie etapy Turnieju odbywają się systemem playoff (zwycięska drużyna awansuje do kolejnej rundy, przegrywająca drużyna odpada).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poszczególnych etapach każda drużyna rozgrywa trzy mecze – dwa pojedynki indywidualne i jeden deblowy (dwóch na dwóch).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Przed rozpoczęciem rozgrywki w poszczególnym etapie zawodnicy ustalają kto będzie występował indywidualnie, a kto w deblu, z zaznaczeniem, że każdy reprezentant drużyny rozgrywa jeden mecz.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Lista drużyn grających w pierwszej rundzie zostanie opublikowana po zakończeniu zgłoszeń na stronie Organizatora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www.esportpolska.org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lub na terenie szkoły/instytucji w dniu Turnieju.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Półfinały – zwycięskie drużyny zagrają o I miejsce, pokonane – o III miejsce. </w:t>
      </w:r>
    </w:p>
    <w:p w:rsidR="00000000" w:rsidDel="00000000" w:rsidP="00000000" w:rsidRDefault="00000000" w:rsidRPr="00000000" w14:paraId="0000002A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§3. Rozgrywka meczowa.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Wszystkie mecze rozgrywane są przy pomocy gry FIFA23 na konsoli PS5.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Każdy gracz może posiadać własnego pada potrzebnego do gry.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Organizatorzy zastrzegają sobie prawo do wyznaczenia godziny meczu, a osoby nie stosujące się do nich mogą zostać usunięte z turnieju lub mecz może być zakończony wynikiem pozytywnym dla przeciwnika (walkower).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Dopuszcza się maksymalnie 5 minut spóźnienia. </w:t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§4. Ustawienia gry.</w:t>
      </w:r>
    </w:p>
    <w:p w:rsidR="00000000" w:rsidDel="00000000" w:rsidP="00000000" w:rsidRDefault="00000000" w:rsidRPr="00000000" w14:paraId="0000003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Ustawienia gry będą takie same na każdym stanowisku.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Typ gry: ustalone w dniu Turnieju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Długość połowy: 4 lub 6 minut (organizator zastrzega sobie prawo do zmian).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Poziom trudności: ustalone w dniu Turnieju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Szybkość gry: Normalna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Kontuzje: Wył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Spalone: Wł.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Kartki: Wł.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Zagrania ręką: Wył.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Liczba zmian: 3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Sterowanie: Dowolne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Stadion: Dowolny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Pogoda: Dobra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Pora dnia: Dzień/Noc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Piłka: domyślna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Kamera: Telewizyjna</w:t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UWAGA!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b w:val="1"/>
          <w:color w:val="000000"/>
        </w:rPr>
      </w:pPr>
      <w:bookmarkStart w:colFirst="0" w:colLast="0" w:name="_heading=h.gjdgxs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Rozgrywki rozgrywamy poprzez mecz towarzyski drużynami narodowymi lub klubowymi.</w:t>
      </w:r>
    </w:p>
    <w:p w:rsidR="00000000" w:rsidDel="00000000" w:rsidP="00000000" w:rsidRDefault="00000000" w:rsidRPr="00000000" w14:paraId="00000042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§5. Zasady Fair Play.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Organizator dokłada wszelkich starań w realizacji misji Stowarzyszenia Esport Polska określonych na stronie internetowej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www.esportpolska.org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Następujące działania będą uznawane za 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niesportową grę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celowe wyłączenie komputera lub monitora, rzucanie padem, odłączanie przewodów itp. działania;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gra na czas poprzez zbyt długie podawanie w obronie na własnej połowie w celu utrzymania korzystnego wyniku;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niesportowy doping, niesportowe zachowanie lub ogólnie kłopotliwe (np. krzyk, wyzwiska), niewłaściwe i nieprofesjonalne działania skierowane przeciwko innemu graczowi podczas i poza rozgrywką turniejową.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wykrycia naruszenia jednego z punktów uznawanego za niesportową grę przez jakiegokolwiek gracza, uczestnik Turnieju (według uznania Opiekuna rozgrywek) może otrzymać ostrzeżenie, przegrać przez walkower lub w skrajnych przypadkach zostać zdyskwalifikowany z Turnieju.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Organizator zastrzega sobie prawo do określenia innych warunków określających niesportową grę.</w:t>
      </w:r>
    </w:p>
    <w:p w:rsidR="00000000" w:rsidDel="00000000" w:rsidP="00000000" w:rsidRDefault="00000000" w:rsidRPr="00000000" w14:paraId="0000004B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§6. Działania zabronione i kary.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Celem Organizatora jest zorganizowanie Turnieju na sprawiedliwych i równych dla wszystkich zasadach.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każdej sprawie spornej decyzję podejmuje Organizator, a jego działania są oparte na przyjętej zasadzie poczucia słuszności i sprawiedliwości.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Regulamin jest jasnym wyznacznikiem tego, co uczestnik Turnieju powinien, a czego nie powinien robić, jednak w spornych lub bardziej skomplikowanych przypadkach zdanie Organizatora jest najważniejsze.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Najważniejszą zasadą przyświecającą Turniejowi jest gra fair play. Dlatego organizator zobowiązuje graczy do: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przestrzegania zasad kultury osobistej;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okazywania wyrozumiałości i dążenie do kompromisu w przypadku problemów technicznych u przeciwnika;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łagodzenia konfliktów;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uczciwej gry bez używania jakichkolwiek nielegalnych wspomagaczy;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przestrzegania etykiety oraz innych, ogólnie obowiązujących norm społecznych.</w:t>
      </w:r>
    </w:p>
    <w:p w:rsidR="00000000" w:rsidDel="00000000" w:rsidP="00000000" w:rsidRDefault="00000000" w:rsidRPr="00000000" w14:paraId="00000055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§7. Postanowienia końcowe.</w:t>
      </w:r>
    </w:p>
    <w:p w:rsidR="00000000" w:rsidDel="00000000" w:rsidP="00000000" w:rsidRDefault="00000000" w:rsidRPr="00000000" w14:paraId="00000056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Organizator Turnieju ma prawo do dokonywania zmian w regulaminie. W takim przypadku odpowiednia informacja zostanie ogłoszona na Turnieju.</w:t>
      </w:r>
    </w:p>
    <w:p w:rsidR="00000000" w:rsidDel="00000000" w:rsidP="00000000" w:rsidRDefault="00000000" w:rsidRPr="00000000" w14:paraId="00000057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kwestiach niezawartych w Regulaminie należy stosować obowiązujące na terenie Rzeczpospolitej Polskiej prawo, w szczególności Kodeks Cywilny.</w:t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Strona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z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1323975" cy="377190"/>
          <wp:effectExtent b="0" l="0" r="0" t="0"/>
          <wp:wrapSquare wrapText="bothSides" distB="0" distT="0" distL="114300" distR="114300"/>
          <wp:docPr descr="espl - logo czarne (Mały).png" id="11" name="image2.png"/>
          <a:graphic>
            <a:graphicData uri="http://schemas.openxmlformats.org/drawingml/2006/picture">
              <pic:pic>
                <pic:nvPicPr>
                  <pic:cNvPr descr="espl - logo czarne (Mały)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3771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98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ny" w:default="1">
    <w:name w:val="Normal"/>
    <w:qFormat w:val="1"/>
    <w:rsid w:val="005465E9"/>
  </w:style>
  <w:style w:type="paragraph" w:styleId="Nagwek1">
    <w:name w:val="heading 1"/>
    <w:basedOn w:val="Normalny"/>
    <w:next w:val="Normalny"/>
    <w:link w:val="Nagwek1Znak"/>
    <w:uiPriority w:val="9"/>
    <w:qFormat w:val="1"/>
    <w:rsid w:val="00E27F5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E27F5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5F20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BD68C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BD68C0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BD68C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E27F5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BD68C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ytuZnak" w:customStyle="1">
    <w:name w:val="Tytuł Znak"/>
    <w:basedOn w:val="Domylnaczcionkaakapitu"/>
    <w:link w:val="Tytu"/>
    <w:uiPriority w:val="10"/>
    <w:rsid w:val="00E27F5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agwek2Znak" w:customStyle="1">
    <w:name w:val="Nagłówek 2 Znak"/>
    <w:basedOn w:val="Domylnaczcionkaakapitu"/>
    <w:link w:val="Nagwek2"/>
    <w:uiPriority w:val="9"/>
    <w:rsid w:val="00E27F5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gwek1Znak" w:customStyle="1">
    <w:name w:val="Nagłówek 1 Znak"/>
    <w:basedOn w:val="Domylnaczcionkaakapitu"/>
    <w:link w:val="Nagwek1"/>
    <w:uiPriority w:val="9"/>
    <w:rsid w:val="00E27F5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kapitzlist">
    <w:name w:val="List Paragraph"/>
    <w:basedOn w:val="Normalny"/>
    <w:uiPriority w:val="34"/>
    <w:qFormat w:val="1"/>
    <w:rsid w:val="00E27F5E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C24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C2493"/>
    <w:rPr>
      <w:rFonts w:ascii="Tahoma" w:cs="Tahoma" w:hAnsi="Tahoma"/>
      <w:sz w:val="16"/>
      <w:szCs w:val="16"/>
    </w:rPr>
  </w:style>
  <w:style w:type="character" w:styleId="Nagwek3Znak" w:customStyle="1">
    <w:name w:val="Nagłówek 3 Znak"/>
    <w:basedOn w:val="Domylnaczcionkaakapitu"/>
    <w:link w:val="Nagwek3"/>
    <w:uiPriority w:val="9"/>
    <w:rsid w:val="009B5F20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 w:val="1"/>
    <w:rsid w:val="001C5C7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C5C76"/>
  </w:style>
  <w:style w:type="paragraph" w:styleId="Stopka">
    <w:name w:val="footer"/>
    <w:basedOn w:val="Normalny"/>
    <w:link w:val="StopkaZnak"/>
    <w:uiPriority w:val="99"/>
    <w:unhideWhenUsed w:val="1"/>
    <w:rsid w:val="001C5C7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C5C76"/>
  </w:style>
  <w:style w:type="paragraph" w:styleId="Mapadokumentu">
    <w:name w:val="Document Map"/>
    <w:basedOn w:val="Normalny"/>
    <w:link w:val="MapadokumentuZnak"/>
    <w:uiPriority w:val="99"/>
    <w:semiHidden w:val="1"/>
    <w:unhideWhenUsed w:val="1"/>
    <w:rsid w:val="000D6A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0D6A13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 w:val="1"/>
    <w:rsid w:val="00FC29F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 w:val="1"/>
    <w:rsid w:val="00FC091D"/>
    <w:rPr>
      <w:b w:val="1"/>
      <w:bCs w:val="1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ezodstpw">
    <w:name w:val="No Spacing"/>
    <w:link w:val="BezodstpwZnak"/>
    <w:uiPriority w:val="1"/>
    <w:qFormat w:val="1"/>
    <w:rsid w:val="00FE05B4"/>
    <w:pPr>
      <w:spacing w:after="0" w:line="240" w:lineRule="auto"/>
    </w:pPr>
    <w:rPr>
      <w:rFonts w:asciiTheme="minorHAnsi" w:cstheme="minorBidi" w:eastAsiaTheme="minorEastAsia" w:hAnsiTheme="minorHAnsi"/>
      <w:lang w:eastAsia="en-US"/>
    </w:rPr>
  </w:style>
  <w:style w:type="character" w:styleId="BezodstpwZnak" w:customStyle="1">
    <w:name w:val="Bez odstępów Znak"/>
    <w:basedOn w:val="Domylnaczcionkaakapitu"/>
    <w:link w:val="Bezodstpw"/>
    <w:uiPriority w:val="1"/>
    <w:rsid w:val="00FE05B4"/>
    <w:rPr>
      <w:rFonts w:asciiTheme="minorHAnsi" w:cstheme="minorBidi" w:eastAsiaTheme="minorEastAsia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esportpolsk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bbgf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XVOsXZbnN2ysKOPY4s/2syIQg==">CgMxLjAyCWguMzBqMHpsbDIJaC4xZm9iOXRlMghoLmdqZGd4czgAciExWWRLM3pldFpKXzhxbENWQ29jbjZUVVRWV1ZtUldNZ3k=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2023-11-14T08:09:00Z</dcterms:created>
  <dc:creator>Dom</dc:creator>
</cp:coreProperties>
</file>